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12CAB9A9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40542DB5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C77C17">
        <w:rPr>
          <w:rFonts w:ascii="Times New Roman" w:eastAsia="Times New Roman" w:hAnsi="Times New Roman" w:cs="Times New Roman"/>
          <w:bCs/>
          <w:sz w:val="24"/>
          <w:szCs w:val="24"/>
        </w:rPr>
        <w:t>Rehabilitacja medyczna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</w:t>
      </w:r>
      <w:r w:rsidR="006B0A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</w:t>
      </w:r>
      <w:r w:rsidR="006B0A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04E1DEFB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C77C17">
        <w:rPr>
          <w:rFonts w:ascii="Times New Roman" w:eastAsia="Times New Roman" w:hAnsi="Times New Roman" w:cs="Times New Roman"/>
          <w:bCs/>
          <w:sz w:val="24"/>
          <w:szCs w:val="24"/>
        </w:rPr>
        <w:t>Rehabilitacja medyczna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4766B5AE" w:rsidR="005C3EBF" w:rsidRPr="008F3FFC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C77C17">
        <w:rPr>
          <w:rFonts w:ascii="Times New Roman" w:eastAsia="Times New Roman" w:hAnsi="Times New Roman" w:cs="Times New Roman"/>
          <w:bCs/>
          <w:sz w:val="24"/>
          <w:szCs w:val="24"/>
        </w:rPr>
        <w:t>6600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32C5E736" w14:textId="77777777" w:rsidR="008F3FFC" w:rsidRPr="005C3EBF" w:rsidRDefault="008F3FFC" w:rsidP="008F3FFC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9E84CFF" w14:textId="786A5177" w:rsidR="006B0AFA" w:rsidRDefault="00C77C17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Kinezyterapia i rehabilitacja neurologiczna lub też neurorehabilitacja - rehabilitacja lecznicza, traktowana jako wyłącznie wspomagająca i uzupełniająca w osiąganiu podstawowego celu społecznego - odnosi się do realizowania założeń rehabilitacji skierowanych na beneficjentów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z dysfunkcjami układu nerwowego i/lub z trudnościami w poruszaniu się, przemieszczaniu,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a tym samym w aktywności życiowej. Dysfunkcje neurologiczne powstają najczęściej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z przyczyny udaru mózgu, bądź też schorzeń neurologicznych. Pierwszorzędnym celem nie tylko rehabilitacji neurologicznej jest przywrócenie wszystkich utraconych funkcji, jeśli nie jest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w całości możliwe, ważne jest aby nauczyć beneficjenta radzić sobie z powstałą niepełnosprawnością. Adaptacja, czy też innymi słowy kompensacja dotyczy nauki beneficjentów innych strategii ruchowych, aby mogli swobodnie funkcjonować w swoim środowisku mimo powstałych ograniczeń. W kolejny etap procesu kompleksowej rehabilitacji medycznej, wprowadzone są specjalne metody i techniki celowane na poszczególne dysfunkcje w celu przywrócenia i zachowania wzorcowych stanów fizjologicznych. Terapia medyczna ma zasadniczy wpływ na polepszenie jakości życia beneficjentów. Terapia realizowana jest </w:t>
      </w:r>
      <w:r w:rsidR="006B0A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za pomocą specjalistycznych metod i technik rehabilitacyjnych: </w:t>
      </w:r>
    </w:p>
    <w:p w14:paraId="3D54CCF1" w14:textId="5A2E6136" w:rsidR="006B0AFA" w:rsidRDefault="00C77C17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1. Motoda Vojty, - możliwie, jak największe zapobieganie kalectwu dzieci, które rodzą się </w:t>
      </w:r>
      <w:r w:rsidR="006B0A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z wadami centralnego układu nerwowego oraz optymalizacja podstawowych funkcji życiowych </w:t>
      </w:r>
    </w:p>
    <w:p w14:paraId="33B1D82D" w14:textId="3DAABD56" w:rsidR="006B0AFA" w:rsidRDefault="00C77C17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2. Terapia manualna - wykorzystanie szeregu technik w dążeniu do usunięcia napięć i dysfunkcji układu mięśniowopowięziowego w sposób łagodny i bezpieczny dla korzystającego z terapii. Cel: zmniejszenie bólu, zwiększenie zakresu ruchomości, ustąpienie stanów zapalnych </w:t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3.Koncepcja NDT Bobath - Interdyscyplinarne podejście do rozwiązywania problemów osób </w:t>
      </w:r>
      <w:r w:rsidR="006B0A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z zaburzeniami funkcji ruchowych, wynikających z uszkodzenia ośrodkowego układu nerwowego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z uwzględnieniem ich osobowości, zdolności poznawczych oraz barier środowiskowych, wpływających na możliwość uczestnictwa w codziennym życiu </w:t>
      </w:r>
    </w:p>
    <w:p w14:paraId="66134524" w14:textId="77777777" w:rsidR="006B0AFA" w:rsidRDefault="00C77C17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4. Koncepcja PNF - proprioceptywne nerwowo-mięśniowe torowanie ruchu, które w swych założeniach wykorzystują pozytywne nastawienie do osoby uczestniczącej w rehabilitacji i jej problemów </w:t>
      </w:r>
    </w:p>
    <w:p w14:paraId="024FE271" w14:textId="77777777" w:rsidR="006B0AFA" w:rsidRDefault="00C77C17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5. Mobilizacja tkanek miękkich - jest to działanie terapeutyczne, które poprzez przywrócenie odpowiedniej struktury tkankom ma za zadanie ułatwić im pełnienie swojej fizjologicznej funkcji. </w:t>
      </w:r>
    </w:p>
    <w:p w14:paraId="41E56B57" w14:textId="77777777" w:rsidR="006B0AFA" w:rsidRDefault="00C77C17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6.Kinesiology taping - aplikacja elastycznych lub statycznych plastrów na ciało, stosowanych przy różnego rodzajach bólach lub stanach zapalnych, a także w celu stabilizacji i/lub korekcji stawów, zmniejszenia obrzęków; oraz inne ułatwiające czynności ruchowe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i samoobsługowe. </w:t>
      </w:r>
    </w:p>
    <w:p w14:paraId="3349D08E" w14:textId="1953C49F" w:rsidR="008F3FFC" w:rsidRDefault="00C77C17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7. Fizjoterapia (zakres leczniczy - terapia wspomagająca) technikami kinezyterapii </w:t>
      </w:r>
      <w:r w:rsidR="006B0A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i fizykoterapii, masaży, światło i elektro stymulacji, kąpiele wirowe. Głównym celem fizjoterapii jest przywrócenie maksymalnie możliwej sprawności fizycznej beneficjenta poprzez jego aktywność ruchową. Wybrane techniki są stosowane w największym zakresie spośród wszystkich technik fizjoterapeutycznych, gdyż są najbardziej akceptowane przez korzystających i dzięki temu w terapii odnoszą największe efekty. Forma wsparcia mimo,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77C17">
        <w:rPr>
          <w:rFonts w:ascii="Times New Roman" w:eastAsia="Times New Roman" w:hAnsi="Times New Roman" w:cs="Times New Roman"/>
          <w:bCs/>
          <w:sz w:val="24"/>
          <w:szCs w:val="24"/>
        </w:rPr>
        <w:t>iż realizowana w niewielkim zakresie ale dzięki procesowi systematyczności i ciągłości znacznie poprawia komfort życia beneficjentów, a tym samym zmienia ich nastawienie do angażowanie się w życie społeczne w lokalnym środowisku i podejmowanie aktywności życiowe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j.</w:t>
      </w:r>
    </w:p>
    <w:p w14:paraId="3E93F324" w14:textId="77777777" w:rsidR="00C77C17" w:rsidRDefault="00C77C17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70E2D95B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fizjoterapeuta, </w:t>
      </w:r>
      <w:r w:rsidR="00C77C17">
        <w:rPr>
          <w:rFonts w:ascii="Times New Roman" w:eastAsia="Times New Roman" w:hAnsi="Times New Roman" w:cs="Times New Roman"/>
          <w:bCs/>
          <w:sz w:val="24"/>
          <w:szCs w:val="24"/>
        </w:rPr>
        <w:t>rehabilitant neurologiczny, terapeuta polisensoryczny, terapeuta SI;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3253E450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576A9732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2F37339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4605A2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6B654509" w:rsidR="009A4126" w:rsidRPr="00C77C17" w:rsidRDefault="009A4126" w:rsidP="00C77C17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C77C17">
        <w:rPr>
          <w:rFonts w:ascii="Times New Roman" w:eastAsia="Times New Roman" w:hAnsi="Times New Roman" w:cs="Times New Roman"/>
          <w:bCs/>
          <w:sz w:val="24"/>
          <w:szCs w:val="24"/>
        </w:rPr>
        <w:t xml:space="preserve">fizjoterapeuta, rehabilitant neurologiczny, terapeuta polisensoryczny, terapeuta SI;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5E7532B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361C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361C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718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3774319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artrogrypozą, nowotworami, artrozą dysplastyczną, Parkinsonem, chorobami układu oddechowego, pokarmowego, dystrofią mięśniową Duchenne’a, Miotonią Beckera, Zespołem Di Georga, Zespołem Ehlersa,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361C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361CA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2A4EC1F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572281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(Cn/Co)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Cn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1C96CABE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57228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2DC5A4C9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124F8452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A2B33DE" w14:textId="77777777" w:rsidR="00DD5F77" w:rsidRDefault="00DD5F77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E74449" w14:textId="0C209CC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3A116A13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491F24C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51EE0CFA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4605A2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3DDAE3DF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64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D30E1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136571"/>
    <w:rsid w:val="00150269"/>
    <w:rsid w:val="00183318"/>
    <w:rsid w:val="00191DEC"/>
    <w:rsid w:val="00193058"/>
    <w:rsid w:val="001E695A"/>
    <w:rsid w:val="001F4EB2"/>
    <w:rsid w:val="00214550"/>
    <w:rsid w:val="00263B1D"/>
    <w:rsid w:val="002A0DCD"/>
    <w:rsid w:val="002A3988"/>
    <w:rsid w:val="002A5EA4"/>
    <w:rsid w:val="002B70C0"/>
    <w:rsid w:val="002D1260"/>
    <w:rsid w:val="002D660F"/>
    <w:rsid w:val="003321A0"/>
    <w:rsid w:val="0035235C"/>
    <w:rsid w:val="00361CA6"/>
    <w:rsid w:val="00384351"/>
    <w:rsid w:val="003A4521"/>
    <w:rsid w:val="003B5611"/>
    <w:rsid w:val="003C313A"/>
    <w:rsid w:val="00405920"/>
    <w:rsid w:val="004156F8"/>
    <w:rsid w:val="00435198"/>
    <w:rsid w:val="00441462"/>
    <w:rsid w:val="004605A2"/>
    <w:rsid w:val="00471CAF"/>
    <w:rsid w:val="00481629"/>
    <w:rsid w:val="00482053"/>
    <w:rsid w:val="00494E87"/>
    <w:rsid w:val="004958CE"/>
    <w:rsid w:val="004A0D60"/>
    <w:rsid w:val="004B15B8"/>
    <w:rsid w:val="004B3B8D"/>
    <w:rsid w:val="004C16A3"/>
    <w:rsid w:val="004F0A51"/>
    <w:rsid w:val="005322AD"/>
    <w:rsid w:val="0053640B"/>
    <w:rsid w:val="00572281"/>
    <w:rsid w:val="005839A4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6B0AFA"/>
    <w:rsid w:val="006F2947"/>
    <w:rsid w:val="00704C78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7D24EC"/>
    <w:rsid w:val="00816FDC"/>
    <w:rsid w:val="00867FA9"/>
    <w:rsid w:val="00881328"/>
    <w:rsid w:val="0089793F"/>
    <w:rsid w:val="008F3FFC"/>
    <w:rsid w:val="00935B04"/>
    <w:rsid w:val="009A4126"/>
    <w:rsid w:val="009E2B63"/>
    <w:rsid w:val="00A00889"/>
    <w:rsid w:val="00A20B8B"/>
    <w:rsid w:val="00A24715"/>
    <w:rsid w:val="00A67189"/>
    <w:rsid w:val="00A7760F"/>
    <w:rsid w:val="00A85D3E"/>
    <w:rsid w:val="00AA2459"/>
    <w:rsid w:val="00AB0492"/>
    <w:rsid w:val="00B028B0"/>
    <w:rsid w:val="00B32242"/>
    <w:rsid w:val="00B47BE3"/>
    <w:rsid w:val="00B53B83"/>
    <w:rsid w:val="00B979F2"/>
    <w:rsid w:val="00BA6B4C"/>
    <w:rsid w:val="00C20E8C"/>
    <w:rsid w:val="00C31EC9"/>
    <w:rsid w:val="00C656B3"/>
    <w:rsid w:val="00C75965"/>
    <w:rsid w:val="00C77C17"/>
    <w:rsid w:val="00CD0791"/>
    <w:rsid w:val="00CF0A85"/>
    <w:rsid w:val="00CF1371"/>
    <w:rsid w:val="00D10BC0"/>
    <w:rsid w:val="00D30E1A"/>
    <w:rsid w:val="00D812E6"/>
    <w:rsid w:val="00DC00CB"/>
    <w:rsid w:val="00DD5F77"/>
    <w:rsid w:val="00DE1CD9"/>
    <w:rsid w:val="00F06E7D"/>
    <w:rsid w:val="00F71E7F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1785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8</cp:revision>
  <cp:lastPrinted>2022-10-26T10:37:00Z</cp:lastPrinted>
  <dcterms:created xsi:type="dcterms:W3CDTF">2024-08-05T12:00:00Z</dcterms:created>
  <dcterms:modified xsi:type="dcterms:W3CDTF">2024-08-12T11:09:00Z</dcterms:modified>
</cp:coreProperties>
</file>